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9" w:rsidRDefault="00DA5AA9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5AA9">
        <w:rPr>
          <w:rFonts w:ascii="Times New Roman" w:hAnsi="Times New Roman" w:cs="Times New Roman"/>
          <w:b/>
          <w:bCs/>
          <w:iCs/>
          <w:sz w:val="24"/>
          <w:szCs w:val="24"/>
        </w:rPr>
        <w:t>Независимая оценка качества образования</w:t>
      </w:r>
    </w:p>
    <w:p w:rsidR="00133C3A" w:rsidRDefault="003141AB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Государственном бюджетном учреждении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дополнительного образования </w:t>
      </w:r>
      <w:r w:rsidR="00133C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детском морском центре Кронштадтского района </w:t>
      </w:r>
    </w:p>
    <w:p w:rsidR="003141AB" w:rsidRDefault="00133C3A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Санкт-Петербурга </w:t>
      </w:r>
      <w:r w:rsidR="003141A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Юный моряк</w:t>
      </w:r>
      <w:r w:rsidR="00305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:rsidR="00BA32C3" w:rsidRPr="00B662DD" w:rsidRDefault="00BA32C3" w:rsidP="00BA32C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апрель-май</w:t>
      </w: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1B09B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662DD" w:rsidRPr="00B662DD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BA32C3" w:rsidRDefault="00BA32C3" w:rsidP="00BA3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32C3" w:rsidRDefault="00BA32C3" w:rsidP="00BA3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В целях независимой оценки качества образовательной деятельности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в период с 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56908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апреля по 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56908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мая 20</w:t>
      </w:r>
      <w:r w:rsidRPr="001B09B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662DD" w:rsidRPr="00B662DD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 было опрошено 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22</w:t>
      </w:r>
      <w:r>
        <w:rPr>
          <w:rFonts w:ascii="Times New Roman" w:hAnsi="Times New Roman" w:cs="Times New Roman"/>
          <w:bCs/>
          <w:iCs/>
          <w:sz w:val="24"/>
          <w:szCs w:val="24"/>
        </w:rPr>
        <w:t>% (1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50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чел. от 6</w:t>
      </w:r>
      <w:r w:rsidR="00B662DD" w:rsidRPr="00B662DD">
        <w:rPr>
          <w:rFonts w:ascii="Times New Roman" w:hAnsi="Times New Roman" w:cs="Times New Roman"/>
          <w:bCs/>
          <w:iCs/>
          <w:sz w:val="24"/>
          <w:szCs w:val="24"/>
        </w:rPr>
        <w:t>59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обучающихся) родителей (законные представители) учащихся ГБУ ДО ДМЦ «Юный моряк». </w:t>
      </w:r>
    </w:p>
    <w:p w:rsidR="009B6A3E" w:rsidRPr="00BA32C3" w:rsidRDefault="00BA32C3" w:rsidP="00BA32C3">
      <w:pPr>
        <w:pStyle w:val="headertext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bCs/>
          <w:iCs/>
        </w:rPr>
        <w:t>Для проведения независимой оценки была предложена для заполнения «</w:t>
      </w:r>
      <w:r w:rsidRPr="00FE101E">
        <w:rPr>
          <w:bCs/>
        </w:rPr>
        <w:t>Анкета получателя образовательных услуг</w:t>
      </w:r>
      <w:r>
        <w:rPr>
          <w:bCs/>
        </w:rPr>
        <w:t>», содержащая 8</w:t>
      </w:r>
      <w:r w:rsidRPr="00031B6C">
        <w:rPr>
          <w:bCs/>
        </w:rPr>
        <w:t xml:space="preserve"> вопросов</w:t>
      </w:r>
      <w:r>
        <w:rPr>
          <w:bCs/>
        </w:rPr>
        <w:t>, составленные в соответствии с приказом Министерства Просвещения РФ от 13 марта 2019 года №114 об утверждении</w:t>
      </w:r>
      <w:r w:rsidRPr="00646EA6">
        <w:rPr>
          <w:bCs/>
        </w:rPr>
        <w:t xml:space="preserve">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bCs/>
        </w:rPr>
        <w:t xml:space="preserve"> </w:t>
      </w:r>
    </w:p>
    <w:p w:rsidR="009B6A3E" w:rsidRDefault="009B6A3E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6A3E" w:rsidRDefault="009B6A3E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9D6042" wp14:editId="77C2351C">
            <wp:extent cx="5605145" cy="4079240"/>
            <wp:effectExtent l="0" t="0" r="1460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32C3" w:rsidRDefault="00BA32C3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32C3" w:rsidRDefault="00BA32C3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32C3" w:rsidRDefault="00BA32C3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101E" w:rsidRDefault="00FE101E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проведения независимой оценки была предложена для заполнения «</w:t>
      </w:r>
      <w:r w:rsidRPr="00FE101E">
        <w:rPr>
          <w:rFonts w:ascii="Times New Roman" w:hAnsi="Times New Roman" w:cs="Times New Roman"/>
          <w:bCs/>
          <w:sz w:val="24"/>
          <w:szCs w:val="24"/>
        </w:rPr>
        <w:t>Анкета получателя образовательных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содержащая </w:t>
      </w:r>
      <w:r w:rsidRPr="00031B6C">
        <w:rPr>
          <w:rFonts w:ascii="Times New Roman" w:hAnsi="Times New Roman" w:cs="Times New Roman"/>
          <w:bCs/>
          <w:sz w:val="24"/>
          <w:szCs w:val="24"/>
        </w:rPr>
        <w:t>5 вопросов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Респондентам необходимо было отметить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 позиции,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наибольшей степени отвечающие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их 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>мнению.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E101E" w:rsidRDefault="00FE101E" w:rsidP="00EA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6F0B">
        <w:rPr>
          <w:rFonts w:ascii="Times New Roman" w:hAnsi="Times New Roman" w:cs="Times New Roman"/>
          <w:bCs/>
          <w:sz w:val="24"/>
          <w:szCs w:val="24"/>
        </w:rPr>
        <w:t xml:space="preserve">Анкетирование проводилось </w:t>
      </w:r>
      <w:r w:rsidR="00E64BC9">
        <w:rPr>
          <w:rFonts w:ascii="Times New Roman" w:hAnsi="Times New Roman" w:cs="Times New Roman"/>
          <w:bCs/>
          <w:sz w:val="24"/>
          <w:szCs w:val="24"/>
        </w:rPr>
        <w:t>с использованием</w:t>
      </w:r>
      <w:r w:rsidRPr="00E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F0B" w:rsidRPr="00EA6F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Google</w:t>
      </w:r>
      <w:proofErr w:type="spellEnd"/>
      <w:r w:rsidR="00EA6F0B" w:rsidRPr="00EA6F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="00E64B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ы на официальном сайте Учреждения</w:t>
      </w:r>
      <w:r w:rsidRPr="00EA6F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опросе приняли участие родители </w:t>
      </w:r>
      <w:r w:rsidR="00DA5AA9">
        <w:rPr>
          <w:rFonts w:ascii="Times New Roman" w:hAnsi="Times New Roman" w:cs="Times New Roman"/>
          <w:bCs/>
          <w:iCs/>
          <w:sz w:val="24"/>
          <w:szCs w:val="24"/>
        </w:rPr>
        <w:t xml:space="preserve">(законные представители) </w:t>
      </w:r>
      <w:r w:rsidR="00E64BC9">
        <w:rPr>
          <w:rFonts w:ascii="Times New Roman" w:hAnsi="Times New Roman" w:cs="Times New Roman"/>
          <w:bCs/>
          <w:iCs/>
          <w:sz w:val="24"/>
          <w:szCs w:val="24"/>
        </w:rPr>
        <w:t xml:space="preserve">учащихся, </w:t>
      </w:r>
      <w:r>
        <w:rPr>
          <w:rFonts w:ascii="Times New Roman" w:hAnsi="Times New Roman" w:cs="Times New Roman"/>
          <w:bCs/>
          <w:sz w:val="24"/>
          <w:szCs w:val="24"/>
        </w:rPr>
        <w:t>обучающихся по дополнительным общеобразовательным программам</w:t>
      </w:r>
      <w:r w:rsidR="00265DB3">
        <w:rPr>
          <w:rFonts w:ascii="Times New Roman" w:hAnsi="Times New Roman" w:cs="Times New Roman"/>
          <w:bCs/>
          <w:sz w:val="24"/>
          <w:szCs w:val="24"/>
        </w:rPr>
        <w:t xml:space="preserve"> различных направленностей</w:t>
      </w:r>
      <w:r w:rsidR="008536A1">
        <w:rPr>
          <w:rFonts w:ascii="Times New Roman" w:hAnsi="Times New Roman" w:cs="Times New Roman"/>
          <w:bCs/>
          <w:sz w:val="24"/>
          <w:szCs w:val="24"/>
        </w:rPr>
        <w:t xml:space="preserve"> и возрастных категорий (диаграмма)</w:t>
      </w:r>
      <w:r w:rsidR="00584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A32C3" w:rsidRPr="00FC1721" w:rsidRDefault="00BA32C3" w:rsidP="00EA6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1AB" w:rsidRPr="00FE101E" w:rsidRDefault="003141AB" w:rsidP="003141AB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Таблица 1. Итоги анкетирования</w:t>
      </w:r>
      <w:r w:rsidRPr="00FE101E">
        <w:rPr>
          <w:rFonts w:ascii="Times New Roman" w:hAnsi="Times New Roman" w:cs="Times New Roman"/>
          <w:bCs/>
          <w:sz w:val="24"/>
          <w:szCs w:val="24"/>
        </w:rPr>
        <w:t xml:space="preserve"> получател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FE101E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</w:t>
      </w: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530"/>
        <w:gridCol w:w="3826"/>
        <w:gridCol w:w="978"/>
        <w:gridCol w:w="982"/>
        <w:gridCol w:w="705"/>
        <w:gridCol w:w="705"/>
        <w:gridCol w:w="968"/>
        <w:gridCol w:w="968"/>
      </w:tblGrid>
      <w:tr w:rsidR="003141AB" w:rsidRPr="009161AC" w:rsidTr="002F5C08">
        <w:tc>
          <w:tcPr>
            <w:tcW w:w="274" w:type="pct"/>
            <w:vMerge w:val="restar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980" w:type="pct"/>
            <w:vMerge w:val="restar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Вопрос</w:t>
            </w:r>
          </w:p>
        </w:tc>
        <w:tc>
          <w:tcPr>
            <w:tcW w:w="2746" w:type="pct"/>
            <w:gridSpan w:val="6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Варианты ответов/кол-во человек, %</w:t>
            </w:r>
          </w:p>
        </w:tc>
      </w:tr>
      <w:tr w:rsidR="003141AB" w:rsidRPr="009161AC" w:rsidTr="002F5C08">
        <w:tc>
          <w:tcPr>
            <w:tcW w:w="274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Положительно или скорее положительно</w:t>
            </w:r>
          </w:p>
        </w:tc>
        <w:tc>
          <w:tcPr>
            <w:tcW w:w="730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02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Скорее отрицательно или отрицательно</w:t>
            </w:r>
          </w:p>
        </w:tc>
      </w:tr>
      <w:tr w:rsidR="003141AB" w:rsidRPr="009161AC" w:rsidTr="002F5C08">
        <w:tc>
          <w:tcPr>
            <w:tcW w:w="274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08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5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365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1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01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6DF4" w:rsidRPr="009161AC" w:rsidTr="002F5C08">
        <w:tc>
          <w:tcPr>
            <w:tcW w:w="274" w:type="pct"/>
          </w:tcPr>
          <w:p w:rsidR="00E66DF4" w:rsidRPr="009161AC" w:rsidRDefault="00E66DF4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E66DF4" w:rsidRPr="00DA5AA9" w:rsidRDefault="007B6975" w:rsidP="007B69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УДОВЛЕТВОРЕНЫ ЛИ ВЫ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ОТКРЫТОСТЬЮ И ДОСТУПНОСТЬЮ ИНФОРМАЦИИ ОБ УЧРЕЖДЕНИИ? </w:t>
            </w:r>
          </w:p>
        </w:tc>
        <w:tc>
          <w:tcPr>
            <w:tcW w:w="506" w:type="pct"/>
            <w:vAlign w:val="center"/>
          </w:tcPr>
          <w:p w:rsidR="00E66DF4" w:rsidRDefault="0056052A" w:rsidP="005E0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508" w:type="pct"/>
            <w:vAlign w:val="center"/>
          </w:tcPr>
          <w:p w:rsidR="00E66DF4" w:rsidRPr="00E66DF4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365" w:type="pct"/>
            <w:vAlign w:val="center"/>
          </w:tcPr>
          <w:p w:rsidR="00E66DF4" w:rsidRDefault="0056052A" w:rsidP="00FB70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65" w:type="pct"/>
            <w:vAlign w:val="center"/>
          </w:tcPr>
          <w:p w:rsidR="00E66DF4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501" w:type="pct"/>
            <w:vAlign w:val="center"/>
          </w:tcPr>
          <w:p w:rsidR="00E66DF4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E66DF4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7B6975" w:rsidRPr="009161AC" w:rsidTr="002F5C08">
        <w:tc>
          <w:tcPr>
            <w:tcW w:w="274" w:type="pct"/>
          </w:tcPr>
          <w:p w:rsidR="007B6975" w:rsidRPr="009161AC" w:rsidRDefault="007B6975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7B6975" w:rsidRPr="00DA5AA9" w:rsidRDefault="007B6975" w:rsidP="006519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КАК БЫ ВЫ В ЦЕЛОМ ОЦЕНИЛИ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КОМФОРТНОСТЬ УСЛОВИЙ В УЧРЕЖДЕНИИ?</w:t>
            </w:r>
          </w:p>
        </w:tc>
        <w:tc>
          <w:tcPr>
            <w:tcW w:w="506" w:type="pct"/>
            <w:vAlign w:val="center"/>
          </w:tcPr>
          <w:p w:rsidR="007B6975" w:rsidRDefault="0056052A" w:rsidP="005E0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508" w:type="pct"/>
            <w:vAlign w:val="center"/>
          </w:tcPr>
          <w:p w:rsidR="007B6975" w:rsidRPr="007B6975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365" w:type="pct"/>
            <w:vAlign w:val="center"/>
          </w:tcPr>
          <w:p w:rsidR="007B6975" w:rsidRDefault="0056052A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5" w:type="pct"/>
            <w:vAlign w:val="center"/>
          </w:tcPr>
          <w:p w:rsidR="007B6975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01" w:type="pct"/>
            <w:vAlign w:val="center"/>
          </w:tcPr>
          <w:p w:rsidR="007B6975" w:rsidRDefault="00627E58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7B6975" w:rsidRDefault="00627E58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2F5C08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506" w:type="pct"/>
            <w:vAlign w:val="center"/>
          </w:tcPr>
          <w:p w:rsidR="002F5C08" w:rsidRDefault="002F5C0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08" w:type="pct"/>
            <w:vAlign w:val="center"/>
          </w:tcPr>
          <w:p w:rsidR="002F5C08" w:rsidRDefault="00627E5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365" w:type="pct"/>
            <w:vAlign w:val="center"/>
          </w:tcPr>
          <w:p w:rsidR="002F5C08" w:rsidRDefault="002F5C08" w:rsidP="005605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560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1" w:type="pct"/>
            <w:vAlign w:val="center"/>
          </w:tcPr>
          <w:p w:rsidR="002F5C08" w:rsidRDefault="00627E5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Default="00627E5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2F5C08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УСЛОВИЯМИ ДОСТУПНОСТИ ОБРАЗОВАТЕЛЬНОЙ СРЕДЫ ДЛЯ ИНВАЛИДОВ?</w:t>
            </w:r>
          </w:p>
        </w:tc>
        <w:tc>
          <w:tcPr>
            <w:tcW w:w="506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508" w:type="pct"/>
            <w:vAlign w:val="center"/>
          </w:tcPr>
          <w:p w:rsidR="002F5C08" w:rsidRPr="007B6975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65,3</w:t>
            </w:r>
          </w:p>
        </w:tc>
        <w:tc>
          <w:tcPr>
            <w:tcW w:w="365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65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34,6</w:t>
            </w:r>
          </w:p>
        </w:tc>
        <w:tc>
          <w:tcPr>
            <w:tcW w:w="501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2F5C08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506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8" w:type="pct"/>
            <w:vAlign w:val="center"/>
          </w:tcPr>
          <w:p w:rsidR="002F5C08" w:rsidRPr="00627E58" w:rsidRDefault="002F5C0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6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2F5C08" w:rsidRPr="00FB706F" w:rsidRDefault="002F5C0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8,6</w:t>
            </w:r>
          </w:p>
        </w:tc>
        <w:tc>
          <w:tcPr>
            <w:tcW w:w="501" w:type="pct"/>
            <w:vAlign w:val="center"/>
          </w:tcPr>
          <w:p w:rsidR="002F5C08" w:rsidRPr="00FB706F" w:rsidRDefault="00627E5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Pr="00FB706F" w:rsidRDefault="002F5C0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6519E9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КОМПЕТЕНТНОСТЬЮ РАБОТНИКОВ ОРГАНИЗАЦИИ?</w:t>
            </w:r>
          </w:p>
        </w:tc>
        <w:tc>
          <w:tcPr>
            <w:tcW w:w="506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508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365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6519E9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ГОТОВЫ ЛИ ВЫ РЕКОМЕНДОВАТЬ ДАННУЮ ОРГАНИЗАЦИЮ РОДСТВЕННИКАМ И ЗНАКОМЫМ?</w:t>
            </w:r>
          </w:p>
        </w:tc>
        <w:tc>
          <w:tcPr>
            <w:tcW w:w="506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508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85,3</w:t>
            </w:r>
          </w:p>
        </w:tc>
        <w:tc>
          <w:tcPr>
            <w:tcW w:w="365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65" w:type="pct"/>
            <w:vAlign w:val="center"/>
          </w:tcPr>
          <w:p w:rsidR="002F5C08" w:rsidRPr="00FB706F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14,7</w:t>
            </w:r>
          </w:p>
        </w:tc>
        <w:tc>
          <w:tcPr>
            <w:tcW w:w="501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C67E8B" w:rsidRPr="009161AC" w:rsidTr="006519E9">
        <w:tc>
          <w:tcPr>
            <w:tcW w:w="274" w:type="pct"/>
          </w:tcPr>
          <w:p w:rsidR="00C67E8B" w:rsidRPr="009161AC" w:rsidRDefault="00C67E8B" w:rsidP="00C67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C67E8B" w:rsidRPr="00DA5AA9" w:rsidRDefault="00C67E8B" w:rsidP="00C67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506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508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92,6</w:t>
            </w:r>
          </w:p>
        </w:tc>
        <w:tc>
          <w:tcPr>
            <w:tcW w:w="365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65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7,4</w:t>
            </w:r>
          </w:p>
        </w:tc>
        <w:tc>
          <w:tcPr>
            <w:tcW w:w="501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3141AB" w:rsidRDefault="003141AB" w:rsidP="0031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25" w:rsidRDefault="00627E58" w:rsidP="003141A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8231" wp14:editId="35806627">
            <wp:extent cx="5886450" cy="3438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052A" w:rsidRDefault="0056052A" w:rsidP="003141AB">
      <w:pPr>
        <w:spacing w:after="0" w:line="240" w:lineRule="auto"/>
        <w:rPr>
          <w:noProof/>
          <w:lang w:eastAsia="ru-RU"/>
        </w:rPr>
      </w:pPr>
    </w:p>
    <w:p w:rsidR="009B6A3E" w:rsidRDefault="009B6A3E" w:rsidP="009B6A3E">
      <w:pPr>
        <w:pStyle w:val="22"/>
        <w:shd w:val="clear" w:color="auto" w:fill="auto"/>
        <w:spacing w:before="0" w:after="0" w:line="274" w:lineRule="exact"/>
        <w:ind w:right="160" w:firstLine="820"/>
        <w:jc w:val="both"/>
      </w:pPr>
      <w:r>
        <w:t xml:space="preserve">По итогам опроса </w:t>
      </w:r>
      <w:r w:rsidR="00E743E4">
        <w:t xml:space="preserve">удовлетворенность комфортностью условий предоставляемых услуг, </w:t>
      </w:r>
      <w:r>
        <w:t xml:space="preserve">доброжелательность, вежливость, компетентность работников, качество предоставляемых услуг учреждения, положительно оценили </w:t>
      </w:r>
      <w:r w:rsidR="00E743E4">
        <w:t>84</w:t>
      </w:r>
      <w:r>
        <w:t>-100% респондентов (таблица 1, диаграмма 2).</w:t>
      </w:r>
    </w:p>
    <w:p w:rsidR="009B6A3E" w:rsidRDefault="009B6A3E" w:rsidP="009B6A3E">
      <w:pPr>
        <w:pStyle w:val="22"/>
        <w:shd w:val="clear" w:color="auto" w:fill="auto"/>
        <w:spacing w:before="0" w:after="0" w:line="274" w:lineRule="exact"/>
        <w:ind w:right="160" w:firstLine="820"/>
        <w:jc w:val="both"/>
      </w:pPr>
      <w:r>
        <w:t xml:space="preserve">Вместе с тем, необходимо обратить внимание на </w:t>
      </w:r>
      <w:r w:rsidR="00E743E4">
        <w:t xml:space="preserve">открытость и доступность информации об учреждении 16% (24 чел.) затруднились ответить, </w:t>
      </w:r>
      <w:r>
        <w:t>материально-техническое обеспечение учреждения: 2</w:t>
      </w:r>
      <w:r w:rsidR="00E743E4">
        <w:t>2</w:t>
      </w:r>
      <w:r>
        <w:t>% (</w:t>
      </w:r>
      <w:r w:rsidR="00E743E4">
        <w:t>33</w:t>
      </w:r>
      <w:r>
        <w:t xml:space="preserve"> чел.) - затруднились оценить состояние материально-технического обеспечения</w:t>
      </w:r>
      <w:r w:rsidR="00E743E4">
        <w:t xml:space="preserve"> Доступность образовательной среды для инвалидов не смогли оценить 34,6% (</w:t>
      </w:r>
      <w:r w:rsidR="00E743E4">
        <w:rPr>
          <w:bCs/>
          <w:iCs/>
          <w:sz w:val="24"/>
          <w:szCs w:val="24"/>
        </w:rPr>
        <w:t xml:space="preserve">52 чел.)  </w:t>
      </w:r>
      <w:r w:rsidR="00E743E4">
        <w:t>.</w:t>
      </w:r>
    </w:p>
    <w:p w:rsidR="009B6A3E" w:rsidRPr="00BA32C3" w:rsidRDefault="00E743E4" w:rsidP="00BA32C3">
      <w:pPr>
        <w:pStyle w:val="22"/>
        <w:shd w:val="clear" w:color="auto" w:fill="auto"/>
        <w:spacing w:before="0" w:after="0" w:line="274" w:lineRule="exact"/>
        <w:ind w:right="160" w:firstLine="820"/>
        <w:jc w:val="both"/>
        <w:rPr>
          <w:noProof/>
          <w:lang w:eastAsia="ru-RU"/>
        </w:rPr>
      </w:pPr>
      <w:r>
        <w:t>85,3</w:t>
      </w:r>
      <w:r w:rsidR="009B6A3E">
        <w:t>% (1</w:t>
      </w:r>
      <w:r>
        <w:t>2</w:t>
      </w:r>
      <w:r w:rsidR="009B6A3E">
        <w:t>8 чел.) рекомендовали бы учреждение родственникам и знакомым.</w:t>
      </w:r>
      <w:r>
        <w:t xml:space="preserve"> </w:t>
      </w:r>
    </w:p>
    <w:sectPr w:rsidR="009B6A3E" w:rsidRPr="00BA32C3" w:rsidSect="00BA32C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A1"/>
    <w:multiLevelType w:val="hybridMultilevel"/>
    <w:tmpl w:val="2190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6423"/>
    <w:multiLevelType w:val="hybridMultilevel"/>
    <w:tmpl w:val="9B4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D0A"/>
    <w:multiLevelType w:val="hybridMultilevel"/>
    <w:tmpl w:val="F0BAB1C6"/>
    <w:lvl w:ilvl="0" w:tplc="781A10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D"/>
    <w:rsid w:val="00031B6C"/>
    <w:rsid w:val="000B683A"/>
    <w:rsid w:val="000D1A4A"/>
    <w:rsid w:val="00132B69"/>
    <w:rsid w:val="00133C3A"/>
    <w:rsid w:val="001B09B1"/>
    <w:rsid w:val="00235239"/>
    <w:rsid w:val="00256908"/>
    <w:rsid w:val="00265DB3"/>
    <w:rsid w:val="002F5C08"/>
    <w:rsid w:val="002F774B"/>
    <w:rsid w:val="003056A0"/>
    <w:rsid w:val="003141AB"/>
    <w:rsid w:val="003269CA"/>
    <w:rsid w:val="0033698D"/>
    <w:rsid w:val="003466BA"/>
    <w:rsid w:val="003E3DBE"/>
    <w:rsid w:val="004D386D"/>
    <w:rsid w:val="0053060A"/>
    <w:rsid w:val="0056052A"/>
    <w:rsid w:val="00584703"/>
    <w:rsid w:val="005D6E85"/>
    <w:rsid w:val="005E05FB"/>
    <w:rsid w:val="00627E58"/>
    <w:rsid w:val="0064635E"/>
    <w:rsid w:val="00686715"/>
    <w:rsid w:val="00786468"/>
    <w:rsid w:val="007B6975"/>
    <w:rsid w:val="008536A1"/>
    <w:rsid w:val="009161AC"/>
    <w:rsid w:val="009517F8"/>
    <w:rsid w:val="00971FA0"/>
    <w:rsid w:val="009B6A3E"/>
    <w:rsid w:val="00A25BFC"/>
    <w:rsid w:val="00A625DC"/>
    <w:rsid w:val="00A63518"/>
    <w:rsid w:val="00AB53B9"/>
    <w:rsid w:val="00B60D20"/>
    <w:rsid w:val="00B662DD"/>
    <w:rsid w:val="00BA32C3"/>
    <w:rsid w:val="00BF3025"/>
    <w:rsid w:val="00C556FF"/>
    <w:rsid w:val="00C67E8B"/>
    <w:rsid w:val="00C71746"/>
    <w:rsid w:val="00D0258B"/>
    <w:rsid w:val="00DA5AA9"/>
    <w:rsid w:val="00DB631A"/>
    <w:rsid w:val="00E64BC9"/>
    <w:rsid w:val="00E66DF4"/>
    <w:rsid w:val="00E743E4"/>
    <w:rsid w:val="00EA6F0B"/>
    <w:rsid w:val="00F06CD7"/>
    <w:rsid w:val="00F405F3"/>
    <w:rsid w:val="00F910CC"/>
    <w:rsid w:val="00FB706F"/>
    <w:rsid w:val="00FC1721"/>
    <w:rsid w:val="00FE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DA89-6290-4D37-A113-B91C84A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4703"/>
  </w:style>
  <w:style w:type="character" w:styleId="a7">
    <w:name w:val="Emphasis"/>
    <w:basedOn w:val="a0"/>
    <w:uiPriority w:val="20"/>
    <w:qFormat/>
    <w:rsid w:val="00584703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AB53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05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9B6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6A3E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BA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25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41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0155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Доля респондентов по направленностям</a:t>
            </a:r>
          </a:p>
        </c:rich>
      </c:tx>
      <c:layout>
        <c:manualLayout>
          <c:xMode val="edge"/>
          <c:yMode val="edge"/>
          <c:x val="0.194272583492487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респондентов по направленностям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463326487606867"/>
                  <c:y val="-1.387778780781445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02290752513986"/>
                      <c:h val="0.1609745933065963"/>
                    </c:manualLayout>
                  </c15:layout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737297653549343E-2"/>
                  <c:y val="5.91531755915317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96646652316756"/>
                      <c:h val="0.2115193026151930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6034035488222479E-2"/>
                  <c:y val="3.7359900373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Техническая 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Туристско-краеведческая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3.2</c:v>
                </c:pt>
                <c:pt idx="2">
                  <c:v>5.4</c:v>
                </c:pt>
                <c:pt idx="3">
                  <c:v>1.2</c:v>
                </c:pt>
                <c:pt idx="4">
                  <c:v>2.2000000000000002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Независимая оценка качества образовательных услуг </a:t>
            </a:r>
          </a:p>
          <a:p>
            <a:pPr>
              <a:defRPr/>
            </a:pPr>
            <a:r>
              <a:rPr lang="ru-RU" dirty="0"/>
              <a:t>(доля ответивших респондентов, проценты)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Материально-техническое оснащение</c:v>
                </c:pt>
                <c:pt idx="3">
                  <c:v>Доступность образовательной среды</c:v>
                </c:pt>
                <c:pt idx="4">
                  <c:v>Доброжелательность и вежливость</c:v>
                </c:pt>
                <c:pt idx="5">
                  <c:v>Компетентность</c:v>
                </c:pt>
                <c:pt idx="6">
                  <c:v>Рекомендации</c:v>
                </c:pt>
                <c:pt idx="7">
                  <c:v>Качество услуг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84</c:v>
                </c:pt>
                <c:pt idx="1">
                  <c:v>88</c:v>
                </c:pt>
                <c:pt idx="2">
                  <c:v>78</c:v>
                </c:pt>
                <c:pt idx="3">
                  <c:v>65.3</c:v>
                </c:pt>
                <c:pt idx="4">
                  <c:v>91.3</c:v>
                </c:pt>
                <c:pt idx="5">
                  <c:v>96</c:v>
                </c:pt>
                <c:pt idx="6">
                  <c:v>85.3</c:v>
                </c:pt>
                <c:pt idx="7">
                  <c:v>92.6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Материально-техническое оснащение</c:v>
                </c:pt>
                <c:pt idx="3">
                  <c:v>Доступность образовательной среды</c:v>
                </c:pt>
                <c:pt idx="4">
                  <c:v>Доброжелательность и вежливость</c:v>
                </c:pt>
                <c:pt idx="5">
                  <c:v>Компетентность</c:v>
                </c:pt>
                <c:pt idx="6">
                  <c:v>Рекомендации</c:v>
                </c:pt>
                <c:pt idx="7">
                  <c:v>Качество услуг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16</c:v>
                </c:pt>
                <c:pt idx="1">
                  <c:v>12</c:v>
                </c:pt>
                <c:pt idx="2">
                  <c:v>22</c:v>
                </c:pt>
                <c:pt idx="3">
                  <c:v>34.6</c:v>
                </c:pt>
                <c:pt idx="4">
                  <c:v>8.6</c:v>
                </c:pt>
                <c:pt idx="5">
                  <c:v>4</c:v>
                </c:pt>
                <c:pt idx="6">
                  <c:v>14.7</c:v>
                </c:pt>
                <c:pt idx="7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Материально-техническое оснащение</c:v>
                </c:pt>
                <c:pt idx="3">
                  <c:v>Доступность образовательной среды</c:v>
                </c:pt>
                <c:pt idx="4">
                  <c:v>Доброжелательность и вежливость</c:v>
                </c:pt>
                <c:pt idx="5">
                  <c:v>Компетентность</c:v>
                </c:pt>
                <c:pt idx="6">
                  <c:v>Рекомендации</c:v>
                </c:pt>
                <c:pt idx="7">
                  <c:v>Качество услуг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102784"/>
        <c:axId val="83107680"/>
      </c:barChart>
      <c:catAx>
        <c:axId val="8310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07680"/>
        <c:crosses val="autoZero"/>
        <c:auto val="1"/>
        <c:lblAlgn val="ctr"/>
        <c:lblOffset val="100"/>
        <c:noMultiLvlLbl val="0"/>
      </c:catAx>
      <c:valAx>
        <c:axId val="8310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0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cs:styleClr val="auto"/>
    </cs:fontRef>
    <cs:defRPr sz="133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EC90-05D7-4C0C-A406-EB5ECDEE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2022-06-06T13:47:00Z</cp:lastPrinted>
  <dcterms:created xsi:type="dcterms:W3CDTF">2024-06-26T13:45:00Z</dcterms:created>
  <dcterms:modified xsi:type="dcterms:W3CDTF">2024-06-26T13:45:00Z</dcterms:modified>
</cp:coreProperties>
</file>